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360"/>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FF6A95">
              <w:rPr>
                <w:rFonts w:ascii="Arial" w:hAnsi="Arial" w:cs="Arial"/>
                <w:sz w:val="22"/>
                <w:szCs w:val="22"/>
              </w:rPr>
              <w:t>5-01</w:t>
            </w:r>
            <w:r w:rsidR="00B379CE">
              <w:rPr>
                <w:rFonts w:ascii="Arial" w:hAnsi="Arial" w:cs="Arial"/>
                <w:sz w:val="22"/>
                <w:szCs w:val="22"/>
              </w:rPr>
              <w:t>8</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FA6801" w:rsidRDefault="00FA6801" w:rsidP="00FA6801">
      <w:pPr>
        <w:tabs>
          <w:tab w:val="left" w:pos="-1200"/>
          <w:tab w:val="left" w:pos="-360"/>
          <w:tab w:val="left" w:pos="450"/>
          <w:tab w:val="left" w:pos="480"/>
          <w:tab w:val="left" w:pos="1440"/>
          <w:tab w:val="left" w:pos="3240"/>
          <w:tab w:val="left" w:pos="5040"/>
          <w:tab w:val="left" w:pos="8100"/>
          <w:tab w:val="left" w:pos="828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FF6A95">
        <w:rPr>
          <w:rFonts w:ascii="Arial" w:hAnsi="Arial" w:cs="Arial"/>
          <w:sz w:val="22"/>
          <w:szCs w:val="22"/>
        </w:rPr>
        <w:t xml:space="preserve">IMC </w:t>
      </w:r>
      <w:r w:rsidR="00504B2D">
        <w:rPr>
          <w:rFonts w:ascii="Arial" w:hAnsi="Arial" w:cs="Arial"/>
          <w:sz w:val="22"/>
          <w:szCs w:val="22"/>
        </w:rPr>
        <w:t>2600</w:t>
      </w:r>
      <w:r w:rsidR="00504B2D">
        <w:rPr>
          <w:rFonts w:ascii="Arial" w:hAnsi="Arial" w:cs="Arial"/>
          <w:sz w:val="22"/>
          <w:szCs w:val="22"/>
        </w:rPr>
        <w:tab/>
      </w:r>
      <w:r w:rsidR="00504B2D">
        <w:rPr>
          <w:rFonts w:ascii="Arial" w:hAnsi="Arial" w:cs="Arial"/>
          <w:sz w:val="22"/>
          <w:szCs w:val="22"/>
        </w:rPr>
        <w:tab/>
        <w:t>01/27/10</w:t>
      </w:r>
      <w:r w:rsidR="00504B2D">
        <w:rPr>
          <w:rFonts w:ascii="Arial" w:hAnsi="Arial" w:cs="Arial"/>
          <w:sz w:val="22"/>
          <w:szCs w:val="22"/>
        </w:rPr>
        <w:tab/>
        <w:t xml:space="preserve">IMC 2600 </w:t>
      </w:r>
      <w:r w:rsidR="00504B2D">
        <w:rPr>
          <w:rFonts w:ascii="Arial" w:hAnsi="Arial" w:cs="Arial"/>
          <w:sz w:val="22"/>
          <w:szCs w:val="22"/>
        </w:rPr>
        <w:tab/>
        <w:t>09/24/15</w:t>
      </w:r>
    </w:p>
    <w:p w:rsidR="00FA6801" w:rsidRDefault="00FA6801"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837CA7" w:rsidRDefault="00FA6801" w:rsidP="00837CA7">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sidR="009B2593">
        <w:rPr>
          <w:rFonts w:ascii="Arial" w:hAnsi="Arial" w:cs="Arial"/>
          <w:sz w:val="22"/>
          <w:szCs w:val="22"/>
        </w:rPr>
        <w:t>.</w:t>
      </w:r>
      <w:r w:rsidR="009B2593">
        <w:rPr>
          <w:rFonts w:ascii="Arial" w:hAnsi="Arial" w:cs="Arial"/>
          <w:sz w:val="22"/>
          <w:szCs w:val="22"/>
        </w:rPr>
        <w:tab/>
      </w:r>
      <w:r w:rsidR="00FF6A95">
        <w:rPr>
          <w:rFonts w:ascii="Arial" w:hAnsi="Arial" w:cs="Arial"/>
          <w:sz w:val="22"/>
          <w:szCs w:val="22"/>
        </w:rPr>
        <w:t xml:space="preserve">IMC </w:t>
      </w:r>
      <w:r w:rsidR="00504B2D">
        <w:rPr>
          <w:rFonts w:ascii="Arial" w:hAnsi="Arial" w:cs="Arial"/>
          <w:sz w:val="22"/>
          <w:szCs w:val="22"/>
        </w:rPr>
        <w:t>2600 App A</w:t>
      </w:r>
      <w:r w:rsidR="00504B2D">
        <w:rPr>
          <w:rFonts w:ascii="Arial" w:hAnsi="Arial" w:cs="Arial"/>
          <w:sz w:val="22"/>
          <w:szCs w:val="22"/>
        </w:rPr>
        <w:tab/>
        <w:t>08/15/07</w:t>
      </w:r>
      <w:r w:rsidR="00504B2D">
        <w:rPr>
          <w:rFonts w:ascii="Arial" w:hAnsi="Arial" w:cs="Arial"/>
          <w:sz w:val="22"/>
          <w:szCs w:val="22"/>
        </w:rPr>
        <w:tab/>
        <w:t>IMC 2600 App A</w:t>
      </w:r>
      <w:r w:rsidR="00504B2D">
        <w:rPr>
          <w:rFonts w:ascii="Arial" w:hAnsi="Arial" w:cs="Arial"/>
          <w:sz w:val="22"/>
          <w:szCs w:val="22"/>
        </w:rPr>
        <w:tab/>
        <w:t>09/24/15</w:t>
      </w:r>
    </w:p>
    <w:p w:rsidR="00837CA7" w:rsidRDefault="00837CA7"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FA6801"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0D090F">
        <w:rPr>
          <w:rFonts w:ascii="Arial" w:hAnsi="Arial" w:cs="Arial"/>
          <w:sz w:val="22"/>
          <w:szCs w:val="22"/>
        </w:rPr>
        <w:t>.</w:t>
      </w:r>
      <w:r w:rsidR="000D090F">
        <w:rPr>
          <w:rFonts w:ascii="Arial" w:hAnsi="Arial" w:cs="Arial"/>
          <w:sz w:val="22"/>
          <w:szCs w:val="22"/>
        </w:rPr>
        <w:tab/>
      </w:r>
      <w:r w:rsidR="00FF6A95">
        <w:rPr>
          <w:rFonts w:ascii="Arial" w:hAnsi="Arial" w:cs="Arial"/>
          <w:sz w:val="22"/>
          <w:szCs w:val="22"/>
        </w:rPr>
        <w:t xml:space="preserve">IMC </w:t>
      </w:r>
      <w:r w:rsidR="00504B2D">
        <w:rPr>
          <w:rFonts w:ascii="Arial" w:hAnsi="Arial" w:cs="Arial"/>
          <w:sz w:val="22"/>
          <w:szCs w:val="22"/>
        </w:rPr>
        <w:t>2600 App B</w:t>
      </w:r>
      <w:r w:rsidR="00504B2D">
        <w:rPr>
          <w:rFonts w:ascii="Arial" w:hAnsi="Arial" w:cs="Arial"/>
          <w:sz w:val="22"/>
          <w:szCs w:val="22"/>
        </w:rPr>
        <w:tab/>
        <w:t>06/27/14</w:t>
      </w:r>
      <w:r w:rsidR="00504B2D">
        <w:rPr>
          <w:rFonts w:ascii="Arial" w:hAnsi="Arial" w:cs="Arial"/>
          <w:sz w:val="22"/>
          <w:szCs w:val="22"/>
        </w:rPr>
        <w:tab/>
        <w:t>IMC 2600 App B</w:t>
      </w:r>
      <w:r w:rsidR="00504B2D">
        <w:rPr>
          <w:rFonts w:ascii="Arial" w:hAnsi="Arial" w:cs="Arial"/>
          <w:sz w:val="22"/>
          <w:szCs w:val="22"/>
        </w:rPr>
        <w:tab/>
        <w:t>09/24/15</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026AE9" w:rsidRDefault="00FA6801" w:rsidP="00B26EA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113A85">
        <w:rPr>
          <w:rFonts w:ascii="Arial" w:hAnsi="Arial" w:cs="Arial"/>
          <w:sz w:val="22"/>
          <w:szCs w:val="22"/>
        </w:rPr>
        <w:t>.</w:t>
      </w:r>
      <w:r w:rsidR="00113A85">
        <w:rPr>
          <w:rFonts w:ascii="Arial" w:hAnsi="Arial" w:cs="Arial"/>
          <w:sz w:val="22"/>
          <w:szCs w:val="22"/>
        </w:rPr>
        <w:tab/>
      </w:r>
      <w:r w:rsidR="00FF6A95">
        <w:rPr>
          <w:rFonts w:ascii="Arial" w:hAnsi="Arial" w:cs="Arial"/>
          <w:sz w:val="22"/>
          <w:szCs w:val="22"/>
        </w:rPr>
        <w:t xml:space="preserve">IMC </w:t>
      </w:r>
      <w:r w:rsidR="00504B2D">
        <w:rPr>
          <w:rFonts w:ascii="Arial" w:hAnsi="Arial" w:cs="Arial"/>
          <w:sz w:val="22"/>
          <w:szCs w:val="22"/>
        </w:rPr>
        <w:t>2600 App C</w:t>
      </w:r>
      <w:r w:rsidR="00504B2D">
        <w:rPr>
          <w:rFonts w:ascii="Arial" w:hAnsi="Arial" w:cs="Arial"/>
          <w:sz w:val="22"/>
          <w:szCs w:val="22"/>
        </w:rPr>
        <w:tab/>
        <w:t>04/27/10</w:t>
      </w:r>
      <w:r w:rsidR="00504B2D">
        <w:rPr>
          <w:rFonts w:ascii="Arial" w:hAnsi="Arial" w:cs="Arial"/>
          <w:sz w:val="22"/>
          <w:szCs w:val="22"/>
        </w:rPr>
        <w:tab/>
        <w:t>IMC 2600 App C</w:t>
      </w:r>
      <w:r w:rsidR="00504B2D">
        <w:rPr>
          <w:rFonts w:ascii="Arial" w:hAnsi="Arial" w:cs="Arial"/>
          <w:sz w:val="22"/>
          <w:szCs w:val="22"/>
        </w:rPr>
        <w:tab/>
        <w:t>09/24/15</w:t>
      </w:r>
    </w:p>
    <w:p w:rsidR="0001546F" w:rsidRDefault="0001546F"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FF6A95" w:rsidRDefault="00FF6A95" w:rsidP="00FF6A95">
      <w:pPr>
        <w:numPr>
          <w:ilvl w:val="12"/>
          <w:numId w:val="0"/>
        </w:numPr>
        <w:tabs>
          <w:tab w:val="left" w:pos="-1200"/>
          <w:tab w:val="left" w:pos="-360"/>
          <w:tab w:val="left" w:pos="450"/>
          <w:tab w:val="left" w:pos="480"/>
          <w:tab w:val="left" w:pos="1440"/>
          <w:tab w:val="left" w:pos="3240"/>
          <w:tab w:val="left" w:pos="5040"/>
          <w:tab w:val="left" w:pos="8100"/>
        </w:tabs>
        <w:ind w:left="1440" w:hanging="1440"/>
        <w:rPr>
          <w:rFonts w:ascii="Arial" w:hAnsi="Arial" w:cs="Arial"/>
          <w:sz w:val="22"/>
          <w:szCs w:val="22"/>
        </w:rPr>
      </w:pPr>
      <w:r>
        <w:rPr>
          <w:rFonts w:ascii="Arial" w:hAnsi="Arial" w:cs="Arial"/>
          <w:sz w:val="22"/>
          <w:szCs w:val="22"/>
        </w:rPr>
        <w:t>5.</w:t>
      </w:r>
      <w:r>
        <w:rPr>
          <w:rFonts w:ascii="Arial" w:hAnsi="Arial" w:cs="Arial"/>
          <w:sz w:val="22"/>
          <w:szCs w:val="22"/>
        </w:rPr>
        <w:tab/>
        <w:t xml:space="preserve">IMC </w:t>
      </w:r>
      <w:r w:rsidR="00504B2D">
        <w:rPr>
          <w:rFonts w:ascii="Arial" w:hAnsi="Arial" w:cs="Arial"/>
          <w:sz w:val="22"/>
          <w:szCs w:val="22"/>
        </w:rPr>
        <w:t>2600 App D</w:t>
      </w:r>
      <w:r w:rsidR="00504B2D">
        <w:rPr>
          <w:rFonts w:ascii="Arial" w:hAnsi="Arial" w:cs="Arial"/>
          <w:sz w:val="22"/>
          <w:szCs w:val="22"/>
        </w:rPr>
        <w:tab/>
        <w:t>03/21/08</w:t>
      </w:r>
      <w:r w:rsidR="00504B2D">
        <w:rPr>
          <w:rFonts w:ascii="Arial" w:hAnsi="Arial" w:cs="Arial"/>
          <w:sz w:val="22"/>
          <w:szCs w:val="22"/>
        </w:rPr>
        <w:tab/>
        <w:t>IMC 2600 App D</w:t>
      </w:r>
      <w:r w:rsidR="00504B2D">
        <w:rPr>
          <w:rFonts w:ascii="Arial" w:hAnsi="Arial" w:cs="Arial"/>
          <w:sz w:val="22"/>
          <w:szCs w:val="22"/>
        </w:rPr>
        <w:tab/>
        <w:t>09/24/15</w:t>
      </w:r>
    </w:p>
    <w:p w:rsidR="00FF6A95" w:rsidRDefault="00FF6A95" w:rsidP="00FF6A95">
      <w:pPr>
        <w:numPr>
          <w:ilvl w:val="12"/>
          <w:numId w:val="0"/>
        </w:numPr>
        <w:tabs>
          <w:tab w:val="left" w:pos="-1200"/>
          <w:tab w:val="left" w:pos="-360"/>
          <w:tab w:val="left" w:pos="450"/>
          <w:tab w:val="left" w:pos="480"/>
          <w:tab w:val="left" w:pos="1440"/>
          <w:tab w:val="left" w:pos="3240"/>
          <w:tab w:val="left" w:pos="5040"/>
          <w:tab w:val="left" w:pos="8100"/>
        </w:tabs>
        <w:ind w:left="1440" w:hanging="1440"/>
        <w:rPr>
          <w:rFonts w:ascii="Arial" w:hAnsi="Arial" w:cs="Arial"/>
          <w:sz w:val="22"/>
          <w:szCs w:val="22"/>
        </w:rPr>
      </w:pPr>
    </w:p>
    <w:p w:rsidR="00FF6A95" w:rsidRDefault="00FF6A95" w:rsidP="00FF6A95">
      <w:pPr>
        <w:numPr>
          <w:ilvl w:val="12"/>
          <w:numId w:val="0"/>
        </w:numPr>
        <w:tabs>
          <w:tab w:val="left" w:pos="-1200"/>
          <w:tab w:val="left" w:pos="-360"/>
          <w:tab w:val="left" w:pos="450"/>
          <w:tab w:val="left" w:pos="480"/>
          <w:tab w:val="left" w:pos="1440"/>
          <w:tab w:val="left" w:pos="3240"/>
          <w:tab w:val="left" w:pos="5040"/>
          <w:tab w:val="left" w:pos="8100"/>
        </w:tabs>
        <w:ind w:left="1440" w:hanging="1440"/>
        <w:rPr>
          <w:rFonts w:ascii="Arial" w:hAnsi="Arial" w:cs="Arial"/>
          <w:sz w:val="22"/>
          <w:szCs w:val="22"/>
        </w:rPr>
      </w:pPr>
      <w:r>
        <w:rPr>
          <w:rFonts w:ascii="Arial" w:hAnsi="Arial" w:cs="Arial"/>
          <w:sz w:val="22"/>
          <w:szCs w:val="22"/>
        </w:rPr>
        <w:t>6.</w:t>
      </w:r>
      <w:r>
        <w:rPr>
          <w:rFonts w:ascii="Arial" w:hAnsi="Arial" w:cs="Arial"/>
          <w:sz w:val="22"/>
          <w:szCs w:val="22"/>
        </w:rPr>
        <w:tab/>
        <w:t xml:space="preserve">IMC </w:t>
      </w:r>
      <w:r w:rsidR="00504B2D">
        <w:rPr>
          <w:rFonts w:ascii="Arial" w:hAnsi="Arial" w:cs="Arial"/>
          <w:sz w:val="22"/>
          <w:szCs w:val="22"/>
        </w:rPr>
        <w:t>2630</w:t>
      </w:r>
      <w:r w:rsidR="00504B2D">
        <w:rPr>
          <w:rFonts w:ascii="Arial" w:hAnsi="Arial" w:cs="Arial"/>
          <w:sz w:val="22"/>
          <w:szCs w:val="22"/>
        </w:rPr>
        <w:tab/>
      </w:r>
      <w:r w:rsidR="00504B2D">
        <w:rPr>
          <w:rFonts w:ascii="Arial" w:hAnsi="Arial" w:cs="Arial"/>
          <w:sz w:val="22"/>
          <w:szCs w:val="22"/>
        </w:rPr>
        <w:tab/>
        <w:t>05/09/14</w:t>
      </w:r>
      <w:r w:rsidR="00504B2D">
        <w:rPr>
          <w:rFonts w:ascii="Arial" w:hAnsi="Arial" w:cs="Arial"/>
          <w:sz w:val="22"/>
          <w:szCs w:val="22"/>
        </w:rPr>
        <w:tab/>
        <w:t>IMC 2630</w:t>
      </w:r>
      <w:r w:rsidR="00504B2D">
        <w:rPr>
          <w:rFonts w:ascii="Arial" w:hAnsi="Arial" w:cs="Arial"/>
          <w:sz w:val="22"/>
          <w:szCs w:val="22"/>
        </w:rPr>
        <w:tab/>
        <w:t>09/24/15</w:t>
      </w:r>
    </w:p>
    <w:p w:rsidR="00FF6A95" w:rsidRDefault="00FF6A95"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p>
    <w:p w:rsidR="00FF6A95" w:rsidRDefault="00FF6A95"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504B2D" w:rsidRPr="00504B2D" w:rsidRDefault="003C4073" w:rsidP="00504B2D">
      <w:pPr>
        <w:ind w:left="1290" w:hanging="129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504B2D" w:rsidRPr="00504B2D">
        <w:rPr>
          <w:rFonts w:ascii="Arial" w:hAnsi="Arial" w:cs="Arial"/>
          <w:sz w:val="22"/>
          <w:szCs w:val="22"/>
        </w:rPr>
        <w:t xml:space="preserve">IMC 2600, Fuel Cycle Facility Operational Safety and Safeguards Inspection Program,” </w:t>
      </w:r>
      <w:r w:rsidR="00504B2D">
        <w:rPr>
          <w:rFonts w:ascii="Arial" w:hAnsi="Arial" w:cs="Arial"/>
          <w:sz w:val="22"/>
          <w:szCs w:val="22"/>
        </w:rPr>
        <w:t>has been revised to include a section on lapsed appropriations, and removed references to certificates, gaseous diffusion plants, and fuel assembly facilities.  Updated program description general notes and organizational roles.  Replaced references to IMC 0610 with IMC 0616.</w:t>
      </w:r>
    </w:p>
    <w:p w:rsidR="00504B2D" w:rsidRDefault="00504B2D" w:rsidP="00504B2D">
      <w:pPr>
        <w:rPr>
          <w:rFonts w:ascii="Arial" w:hAnsi="Arial" w:cs="Arial"/>
          <w:sz w:val="22"/>
          <w:szCs w:val="22"/>
        </w:rPr>
      </w:pPr>
    </w:p>
    <w:p w:rsidR="00504B2D" w:rsidRPr="00504B2D" w:rsidRDefault="00504B2D" w:rsidP="00504B2D">
      <w:pPr>
        <w:ind w:left="1290"/>
        <w:rPr>
          <w:rFonts w:ascii="Arial" w:hAnsi="Arial" w:cs="Arial"/>
          <w:sz w:val="22"/>
          <w:szCs w:val="22"/>
        </w:rPr>
      </w:pPr>
      <w:r w:rsidRPr="00504B2D">
        <w:rPr>
          <w:rFonts w:ascii="Arial" w:hAnsi="Arial" w:cs="Arial"/>
          <w:sz w:val="22"/>
          <w:szCs w:val="22"/>
        </w:rPr>
        <w:t xml:space="preserve">IMC 2600 App A, “Guidance for Conducting Fuel Cycle Inspections,” </w:t>
      </w:r>
      <w:r>
        <w:rPr>
          <w:rFonts w:ascii="Arial" w:hAnsi="Arial" w:cs="Arial"/>
          <w:sz w:val="22"/>
          <w:szCs w:val="22"/>
        </w:rPr>
        <w:t xml:space="preserve">has been revised to remove </w:t>
      </w:r>
      <w:r>
        <w:rPr>
          <w:rFonts w:ascii="Arial" w:hAnsi="Arial" w:cs="Arial"/>
          <w:sz w:val="22"/>
          <w:szCs w:val="22"/>
        </w:rPr>
        <w:t>references to certificate</w:t>
      </w:r>
      <w:r>
        <w:rPr>
          <w:rFonts w:ascii="Arial" w:hAnsi="Arial" w:cs="Arial"/>
          <w:sz w:val="22"/>
          <w:szCs w:val="22"/>
        </w:rPr>
        <w:t>s, gaseous diffusion plants,</w:t>
      </w:r>
      <w:r>
        <w:rPr>
          <w:rFonts w:ascii="Arial" w:hAnsi="Arial" w:cs="Arial"/>
          <w:sz w:val="22"/>
          <w:szCs w:val="22"/>
        </w:rPr>
        <w:t xml:space="preserve"> fuel assembly facilities</w:t>
      </w:r>
      <w:r>
        <w:rPr>
          <w:rFonts w:ascii="Arial" w:hAnsi="Arial" w:cs="Arial"/>
          <w:sz w:val="22"/>
          <w:szCs w:val="22"/>
        </w:rPr>
        <w:t>, and Cat II fuel facilities.  Added references to IMC 2681 and IMC 2683.</w:t>
      </w:r>
    </w:p>
    <w:p w:rsidR="00504B2D" w:rsidRDefault="00504B2D" w:rsidP="00504B2D">
      <w:pPr>
        <w:rPr>
          <w:rFonts w:ascii="Arial" w:hAnsi="Arial" w:cs="Arial"/>
          <w:sz w:val="22"/>
          <w:szCs w:val="22"/>
        </w:rPr>
      </w:pPr>
    </w:p>
    <w:p w:rsidR="00504B2D" w:rsidRPr="00504B2D" w:rsidRDefault="00504B2D" w:rsidP="00CD3C27">
      <w:pPr>
        <w:ind w:left="1290"/>
        <w:rPr>
          <w:rFonts w:ascii="Arial" w:hAnsi="Arial" w:cs="Arial"/>
          <w:sz w:val="22"/>
          <w:szCs w:val="22"/>
        </w:rPr>
      </w:pPr>
      <w:r w:rsidRPr="00504B2D">
        <w:rPr>
          <w:rFonts w:ascii="Arial" w:hAnsi="Arial" w:cs="Arial"/>
          <w:sz w:val="22"/>
          <w:szCs w:val="22"/>
        </w:rPr>
        <w:t xml:space="preserve">IMC 2600 App B, ‘NRC Core Inspection Requirements Tables 1 and 2,” </w:t>
      </w:r>
      <w:r>
        <w:rPr>
          <w:rFonts w:ascii="Arial" w:hAnsi="Arial" w:cs="Arial"/>
          <w:sz w:val="22"/>
          <w:szCs w:val="22"/>
        </w:rPr>
        <w:t xml:space="preserve">has been revised to remove references to GDP from Table 1, combine several IPs, added as needed procedures to Table 2, and </w:t>
      </w:r>
      <w:r w:rsidR="00CD3C27">
        <w:rPr>
          <w:rFonts w:ascii="Arial" w:hAnsi="Arial" w:cs="Arial"/>
          <w:sz w:val="22"/>
          <w:szCs w:val="22"/>
        </w:rPr>
        <w:t>consolidated</w:t>
      </w:r>
      <w:r>
        <w:rPr>
          <w:rFonts w:ascii="Arial" w:hAnsi="Arial" w:cs="Arial"/>
          <w:sz w:val="22"/>
          <w:szCs w:val="22"/>
        </w:rPr>
        <w:t xml:space="preserve"> resident inspector hours </w:t>
      </w:r>
      <w:r w:rsidR="00CD3C27">
        <w:rPr>
          <w:rFonts w:ascii="Arial" w:hAnsi="Arial" w:cs="Arial"/>
          <w:sz w:val="22"/>
          <w:szCs w:val="22"/>
        </w:rPr>
        <w:t xml:space="preserve">in Table 1, as well as removed resident inspector responsibilities for gaseous diffusion plants. </w:t>
      </w:r>
    </w:p>
    <w:p w:rsidR="00504B2D" w:rsidRDefault="00504B2D" w:rsidP="00504B2D">
      <w:pPr>
        <w:rPr>
          <w:rFonts w:ascii="Arial" w:hAnsi="Arial" w:cs="Arial"/>
          <w:sz w:val="22"/>
          <w:szCs w:val="22"/>
        </w:rPr>
      </w:pPr>
    </w:p>
    <w:p w:rsidR="00504B2D" w:rsidRPr="00504B2D" w:rsidRDefault="00504B2D" w:rsidP="00CD3C27">
      <w:pPr>
        <w:ind w:left="1290"/>
        <w:rPr>
          <w:rFonts w:ascii="Arial" w:hAnsi="Arial" w:cs="Arial"/>
          <w:sz w:val="22"/>
          <w:szCs w:val="22"/>
        </w:rPr>
      </w:pPr>
      <w:r w:rsidRPr="00504B2D">
        <w:rPr>
          <w:rFonts w:ascii="Arial" w:hAnsi="Arial" w:cs="Arial"/>
          <w:sz w:val="22"/>
          <w:szCs w:val="22"/>
        </w:rPr>
        <w:t xml:space="preserve">IMC 2600 App C, “Fuel Cycle Resident Inspection Program,” </w:t>
      </w:r>
      <w:r w:rsidR="00CD3C27">
        <w:rPr>
          <w:rFonts w:ascii="Arial" w:hAnsi="Arial" w:cs="Arial"/>
          <w:sz w:val="22"/>
          <w:szCs w:val="22"/>
        </w:rPr>
        <w:t>has been revised to delete references to GDPs and certificates, resident inspector coverage for sites with two resident inspectors, guidance for one weekend inspection per month, and included a resident inspector relocation section.</w:t>
      </w:r>
    </w:p>
    <w:p w:rsidR="00504B2D" w:rsidRDefault="00504B2D" w:rsidP="00504B2D">
      <w:pPr>
        <w:rPr>
          <w:rFonts w:ascii="Arial" w:hAnsi="Arial" w:cs="Arial"/>
          <w:sz w:val="22"/>
          <w:szCs w:val="22"/>
        </w:rPr>
      </w:pPr>
    </w:p>
    <w:p w:rsidR="00B379CE" w:rsidRDefault="00504B2D" w:rsidP="00B379CE">
      <w:pPr>
        <w:ind w:left="1290"/>
        <w:rPr>
          <w:rFonts w:ascii="Arial" w:hAnsi="Arial" w:cs="Arial"/>
          <w:sz w:val="22"/>
          <w:szCs w:val="22"/>
        </w:rPr>
        <w:sectPr w:rsidR="00B379CE" w:rsidSect="00F91C36">
          <w:footerReference w:type="default" r:id="rId8"/>
          <w:pgSz w:w="12240" w:h="15838" w:code="1"/>
          <w:pgMar w:top="1440" w:right="1440" w:bottom="1440" w:left="1440" w:header="1440" w:footer="1440" w:gutter="0"/>
          <w:cols w:space="720"/>
          <w:docGrid w:linePitch="272"/>
        </w:sectPr>
      </w:pPr>
      <w:r w:rsidRPr="00504B2D">
        <w:rPr>
          <w:rFonts w:ascii="Arial" w:hAnsi="Arial" w:cs="Arial"/>
          <w:sz w:val="22"/>
          <w:szCs w:val="22"/>
        </w:rPr>
        <w:t xml:space="preserve">IMC 2600 App D, ‘Fuel Cycle Facility Inspection Planning,” </w:t>
      </w:r>
      <w:r w:rsidR="00CD3C27">
        <w:rPr>
          <w:rFonts w:ascii="Arial" w:hAnsi="Arial" w:cs="Arial"/>
          <w:sz w:val="22"/>
          <w:szCs w:val="22"/>
        </w:rPr>
        <w:t>has been revised to</w:t>
      </w:r>
      <w:r w:rsidR="00B379CE">
        <w:rPr>
          <w:rFonts w:ascii="Arial" w:hAnsi="Arial" w:cs="Arial"/>
          <w:sz w:val="22"/>
          <w:szCs w:val="22"/>
        </w:rPr>
        <w:t xml:space="preserve"> add an inspection plan template and guidance to maintain historical information and improve coordination.</w:t>
      </w:r>
    </w:p>
    <w:p w:rsidR="00504B2D" w:rsidRDefault="00504B2D" w:rsidP="00504B2D">
      <w:pPr>
        <w:rPr>
          <w:rFonts w:ascii="Arial" w:hAnsi="Arial" w:cs="Arial"/>
          <w:sz w:val="22"/>
          <w:szCs w:val="22"/>
        </w:rPr>
      </w:pPr>
    </w:p>
    <w:p w:rsidR="00504B2D" w:rsidRPr="00504B2D" w:rsidRDefault="00504B2D" w:rsidP="00504B2D">
      <w:pPr>
        <w:ind w:left="1290"/>
        <w:rPr>
          <w:rFonts w:ascii="Arial" w:hAnsi="Arial" w:cs="Arial"/>
          <w:sz w:val="22"/>
          <w:szCs w:val="22"/>
        </w:rPr>
      </w:pPr>
      <w:r w:rsidRPr="00504B2D">
        <w:rPr>
          <w:rFonts w:ascii="Arial" w:hAnsi="Arial" w:cs="Arial"/>
          <w:sz w:val="22"/>
          <w:szCs w:val="22"/>
        </w:rPr>
        <w:t xml:space="preserve">IMC 2630, “Mixed Oxide Fuel Fabrication Facility Construction Inspection Program,” </w:t>
      </w:r>
      <w:r w:rsidR="00B379CE">
        <w:rPr>
          <w:rFonts w:ascii="Arial" w:hAnsi="Arial" w:cs="Arial"/>
          <w:sz w:val="22"/>
          <w:szCs w:val="22"/>
        </w:rPr>
        <w:t>has been revised to include resident inspector relocation information, as well as a section on lapsed appropriations.</w:t>
      </w:r>
    </w:p>
    <w:p w:rsidR="00BD71D7" w:rsidRDefault="00BD71D7" w:rsidP="009B2593">
      <w:pPr>
        <w:tabs>
          <w:tab w:val="left" w:pos="1440"/>
        </w:tabs>
        <w:ind w:left="1440" w:hanging="1440"/>
        <w:rPr>
          <w:rFonts w:ascii="Arial" w:hAnsi="Arial" w:cs="Arial"/>
          <w:sz w:val="22"/>
          <w:szCs w:val="22"/>
        </w:rPr>
      </w:pPr>
    </w:p>
    <w:p w:rsidR="00B379CE" w:rsidRDefault="00B379CE" w:rsidP="009B2593">
      <w:pPr>
        <w:tabs>
          <w:tab w:val="left" w:pos="1440"/>
        </w:tabs>
        <w:ind w:left="1440" w:hanging="1440"/>
        <w:rPr>
          <w:rFonts w:ascii="Arial" w:hAnsi="Arial" w:cs="Arial"/>
          <w:sz w:val="22"/>
          <w:szCs w:val="22"/>
        </w:rPr>
      </w:pPr>
    </w:p>
    <w:p w:rsidR="00B379CE" w:rsidRDefault="00B379CE" w:rsidP="009B2593">
      <w:pPr>
        <w:tabs>
          <w:tab w:val="left" w:pos="1440"/>
        </w:tabs>
        <w:ind w:left="1440" w:hanging="1440"/>
        <w:rPr>
          <w:rFonts w:ascii="Arial" w:hAnsi="Arial" w:cs="Arial"/>
          <w:sz w:val="22"/>
          <w:szCs w:val="22"/>
        </w:rPr>
      </w:pPr>
      <w:bookmarkStart w:id="0" w:name="_GoBack"/>
      <w:bookmarkEnd w:id="0"/>
    </w:p>
    <w:p w:rsidR="00187B2C" w:rsidRDefault="004B36C4" w:rsidP="00C436DB">
      <w:pPr>
        <w:tabs>
          <w:tab w:val="left" w:pos="1800"/>
        </w:tabs>
        <w:ind w:left="1440" w:hanging="1440"/>
        <w:rPr>
          <w:rFonts w:ascii="Arial" w:hAnsi="Arial" w:cs="Arial"/>
          <w:sz w:val="22"/>
          <w:szCs w:val="22"/>
        </w:rPr>
      </w:pPr>
      <w:r>
        <w:rPr>
          <w:rFonts w:ascii="Arial" w:hAnsi="Arial" w:cs="Arial"/>
          <w:sz w:val="22"/>
          <w:szCs w:val="22"/>
        </w:rPr>
        <w:t xml:space="preserve">DISTRIBUTION:  </w:t>
      </w:r>
      <w:r w:rsidR="00504B2D">
        <w:rPr>
          <w:rFonts w:ascii="Arial" w:hAnsi="Arial" w:cs="Arial"/>
          <w:sz w:val="22"/>
          <w:szCs w:val="22"/>
        </w:rPr>
        <w:t>Standard</w:t>
      </w:r>
    </w:p>
    <w:p w:rsidR="00187B2C" w:rsidRDefault="00187B2C" w:rsidP="00C436DB">
      <w:pPr>
        <w:tabs>
          <w:tab w:val="left" w:pos="1800"/>
        </w:tabs>
        <w:ind w:left="1440" w:hanging="1440"/>
        <w:rPr>
          <w:rFonts w:ascii="Arial" w:hAnsi="Arial" w:cs="Arial"/>
          <w:sz w:val="22"/>
          <w:szCs w:val="22"/>
        </w:rPr>
      </w:pPr>
    </w:p>
    <w:p w:rsidR="00BD71D7" w:rsidRDefault="00BD71D7"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86D" w:rsidRDefault="00A9686D">
      <w:r>
        <w:separator/>
      </w:r>
    </w:p>
  </w:endnote>
  <w:endnote w:type="continuationSeparator" w:id="0">
    <w:p w:rsidR="00A9686D" w:rsidRDefault="00A96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A95" w:rsidRPr="00A31474" w:rsidRDefault="00FF6A95"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B379CE">
      <w:rPr>
        <w:rFonts w:ascii="Arial" w:hAnsi="Arial" w:cs="Arial"/>
        <w:sz w:val="22"/>
        <w:szCs w:val="22"/>
      </w:rPr>
      <w:t>ssue Date:  09/24</w:t>
    </w:r>
    <w:r>
      <w:rPr>
        <w:rFonts w:ascii="Arial" w:hAnsi="Arial" w:cs="Arial"/>
        <w:sz w:val="22"/>
        <w:szCs w:val="22"/>
      </w:rPr>
      <w:t>/15</w:t>
    </w:r>
    <w:r w:rsidRPr="00A31474">
      <w:rPr>
        <w:rFonts w:ascii="Arial" w:hAnsi="Arial" w:cs="Arial"/>
        <w:sz w:val="22"/>
        <w:szCs w:val="22"/>
      </w:rPr>
      <w:tab/>
    </w:r>
    <w:r w:rsidR="00B379CE">
      <w:rPr>
        <w:rFonts w:ascii="Arial" w:hAnsi="Arial" w:cs="Arial"/>
        <w:sz w:val="22"/>
        <w:szCs w:val="22"/>
      </w:rPr>
      <w:t>1</w:t>
    </w:r>
    <w:r w:rsidR="00B379CE">
      <w:rPr>
        <w:rFonts w:ascii="Arial" w:hAnsi="Arial" w:cs="Arial"/>
        <w:sz w:val="22"/>
        <w:szCs w:val="22"/>
      </w:rPr>
      <w:tab/>
      <w:t>15-018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CE" w:rsidRPr="00A31474" w:rsidRDefault="00B379CE"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09/24/15</w:t>
    </w:r>
    <w:r w:rsidRPr="00A31474">
      <w:rPr>
        <w:rFonts w:ascii="Arial" w:hAnsi="Arial" w:cs="Arial"/>
        <w:sz w:val="22"/>
        <w:szCs w:val="22"/>
      </w:rPr>
      <w:tab/>
    </w:r>
    <w:r>
      <w:rPr>
        <w:rFonts w:ascii="Arial" w:hAnsi="Arial" w:cs="Arial"/>
        <w:sz w:val="22"/>
        <w:szCs w:val="22"/>
      </w:rPr>
      <w:t>2</w:t>
    </w:r>
    <w:r>
      <w:rPr>
        <w:rFonts w:ascii="Arial" w:hAnsi="Arial" w:cs="Arial"/>
        <w:sz w:val="22"/>
        <w:szCs w:val="22"/>
      </w:rPr>
      <w:tab/>
      <w:t>15-018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86D" w:rsidRDefault="00A9686D">
      <w:r>
        <w:separator/>
      </w:r>
    </w:p>
  </w:footnote>
  <w:footnote w:type="continuationSeparator" w:id="0">
    <w:p w:rsidR="00A9686D" w:rsidRDefault="00A968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40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D71D7"/>
    <w:rsid w:val="00BE10A7"/>
    <w:rsid w:val="00BE2931"/>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color="#020000">
      <v:stroke color="#020000" weight=".96pt"/>
    </o:shapedefaults>
    <o:shapelayout v:ext="edit">
      <o:idmap v:ext="edit" data="1"/>
    </o:shapelayout>
  </w:shapeDefaults>
  <w:decimalSymbol w:val="."/>
  <w:listSeparator w:val=","/>
  <w15:docId w15:val="{B5860DED-1FC2-48DE-8469-0EA45DBB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4E536-CAA5-4CFF-807C-69CE30AC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2015-09-21T10:55:00Z</cp:lastPrinted>
  <dcterms:created xsi:type="dcterms:W3CDTF">2015-09-23T11:03:00Z</dcterms:created>
  <dcterms:modified xsi:type="dcterms:W3CDTF">2015-09-23T11:03:00Z</dcterms:modified>
</cp:coreProperties>
</file>